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79026" w14:textId="2EAC2B9A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77777777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1" w:name="_Hlk124321914"/>
      <w:bookmarkStart w:id="2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1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2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D734DE4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3-4</w:t>
      </w:r>
      <w:r w:rsidR="002371EC">
        <w:rPr>
          <w:rFonts w:ascii="Arial" w:hAnsi="Arial" w:cs="Arial"/>
          <w:sz w:val="20"/>
          <w:szCs w:val="20"/>
        </w:rPr>
        <w:t>,</w:t>
      </w:r>
      <w:r w:rsidR="00F44EB8">
        <w:rPr>
          <w:rFonts w:ascii="Arial" w:hAnsi="Arial" w:cs="Arial"/>
          <w:sz w:val="20"/>
          <w:szCs w:val="20"/>
        </w:rPr>
        <w:t xml:space="preserve"> </w:t>
      </w:r>
      <w:r w:rsidR="00C8280A" w:rsidRPr="00C8280A">
        <w:rPr>
          <w:rFonts w:ascii="Arial" w:hAnsi="Arial" w:cs="Arial"/>
          <w:sz w:val="20"/>
          <w:szCs w:val="20"/>
        </w:rPr>
        <w:t>6-8, 10, 15, 20-23, 25-26, 30-31)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C52AE5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3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E8092C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>dotycząc</w:t>
      </w:r>
      <w:r w:rsidR="00200723">
        <w:rPr>
          <w:rFonts w:ascii="Arial" w:hAnsi="Arial" w:cs="Arial"/>
          <w:sz w:val="20"/>
          <w:szCs w:val="20"/>
          <w:lang w:eastAsia="pl-PL"/>
        </w:rPr>
        <w:t>e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00723">
        <w:rPr>
          <w:rFonts w:ascii="Arial" w:hAnsi="Arial" w:cs="Arial"/>
          <w:sz w:val="20"/>
          <w:szCs w:val="20"/>
          <w:lang w:eastAsia="pl-PL"/>
        </w:rPr>
        <w:t xml:space="preserve">odpowiedniego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modułu </w:t>
      </w:r>
      <w:r w:rsidR="006615E2" w:rsidRPr="00E8092C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E8092C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00E8092C">
        <w:rPr>
          <w:rFonts w:ascii="Arial" w:hAnsi="Arial" w:cs="Arial"/>
          <w:sz w:val="20"/>
          <w:szCs w:val="20"/>
          <w:lang w:eastAsia="pl-PL"/>
        </w:rPr>
        <w:t>9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5C2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u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E8092C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>
        <w:rPr>
          <w:rFonts w:ascii="Arial" w:hAnsi="Arial" w:cs="Arial"/>
          <w:sz w:val="20"/>
          <w:szCs w:val="20"/>
          <w:lang w:eastAsia="pl-PL"/>
        </w:rPr>
        <w:t>8</w:t>
      </w:r>
      <w:r w:rsidR="00F6727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>
        <w:rPr>
          <w:rFonts w:ascii="Arial" w:hAnsi="Arial" w:cs="Arial"/>
          <w:sz w:val="20"/>
          <w:szCs w:val="20"/>
          <w:lang w:eastAsia="pl-PL"/>
        </w:rPr>
        <w:t>9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E8092C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4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4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67F1AEE6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193432" w:rsidRPr="00E8092C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33E0B54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5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E8092C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E8092C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6" w:name="_Hlk101948259"/>
      <w:bookmarkEnd w:id="5"/>
      <w:r w:rsidRPr="00D478C1">
        <w:rPr>
          <w:rFonts w:cs="Arial"/>
        </w:rPr>
        <w:t>§ 3.</w:t>
      </w:r>
      <w:bookmarkEnd w:id="6"/>
      <w:r w:rsidRPr="00D478C1">
        <w:rPr>
          <w:rFonts w:cs="Arial"/>
        </w:rPr>
        <w:br/>
        <w:t>Ogólne warunki dofinansowania</w:t>
      </w:r>
    </w:p>
    <w:p w14:paraId="433F2B8D" w14:textId="069AD67B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…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6F66C0" w:rsidRPr="00E8092C">
        <w:rPr>
          <w:rFonts w:ascii="Arial" w:hAnsi="Arial" w:cs="Arial"/>
          <w:sz w:val="20"/>
          <w:szCs w:val="20"/>
          <w:lang w:eastAsia="pl-PL"/>
        </w:rPr>
        <w:t>…</w:t>
      </w:r>
    </w:p>
    <w:p w14:paraId="0391658D" w14:textId="3B02E345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E8092C">
        <w:rPr>
          <w:rFonts w:ascii="Arial" w:hAnsi="Arial" w:cs="Arial"/>
          <w:sz w:val="20"/>
          <w:szCs w:val="20"/>
        </w:rPr>
        <w:t>§</w:t>
      </w:r>
      <w:r w:rsidR="00885ADB" w:rsidRPr="00E8092C">
        <w:rPr>
          <w:rFonts w:ascii="Arial" w:hAnsi="Arial" w:cs="Arial"/>
          <w:sz w:val="20"/>
          <w:szCs w:val="20"/>
        </w:rPr>
        <w:t> </w:t>
      </w:r>
      <w:r w:rsidR="000C36DF" w:rsidRPr="00E8092C">
        <w:rPr>
          <w:rFonts w:ascii="Arial" w:hAnsi="Arial" w:cs="Arial"/>
          <w:sz w:val="20"/>
          <w:szCs w:val="20"/>
        </w:rPr>
        <w:t xml:space="preserve">2 ust. </w:t>
      </w:r>
      <w:r w:rsidR="006D1434">
        <w:rPr>
          <w:rFonts w:ascii="Arial" w:hAnsi="Arial" w:cs="Arial"/>
          <w:sz w:val="20"/>
          <w:szCs w:val="20"/>
        </w:rPr>
        <w:t>8 i 9</w:t>
      </w:r>
      <w:r w:rsidR="00885ADB" w:rsidRPr="00E8092C">
        <w:rPr>
          <w:rFonts w:ascii="Arial" w:hAnsi="Arial" w:cs="Arial"/>
          <w:sz w:val="20"/>
          <w:szCs w:val="20"/>
        </w:rPr>
        <w:t>, § </w:t>
      </w:r>
      <w:r w:rsidR="0053015A" w:rsidRPr="00E8092C">
        <w:rPr>
          <w:rFonts w:ascii="Arial" w:hAnsi="Arial" w:cs="Arial"/>
          <w:sz w:val="20"/>
          <w:szCs w:val="20"/>
        </w:rPr>
        <w:t>4</w:t>
      </w:r>
      <w:r w:rsidR="00885ADB" w:rsidRPr="00E8092C">
        <w:rPr>
          <w:rFonts w:ascii="Arial" w:hAnsi="Arial" w:cs="Arial"/>
          <w:sz w:val="20"/>
          <w:szCs w:val="20"/>
        </w:rPr>
        <w:t xml:space="preserve"> oraz § 9</w:t>
      </w:r>
      <w:r w:rsidR="004C02A0" w:rsidRPr="00E8092C">
        <w:rPr>
          <w:rFonts w:ascii="Arial" w:hAnsi="Arial" w:cs="Arial"/>
          <w:sz w:val="20"/>
          <w:szCs w:val="20"/>
        </w:rPr>
        <w:t>.</w:t>
      </w:r>
    </w:p>
    <w:p w14:paraId="365D9165" w14:textId="2A4DF1E9" w:rsidR="00D24E5B" w:rsidRPr="00E8092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minimis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D65725E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wskaźników.</w:t>
      </w:r>
    </w:p>
    <w:p w14:paraId="082CC7BA" w14:textId="24E49DB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 xml:space="preserve">dokumentów księgowych (faktur lub dokumentów o równoważnej wartości dowodowej), potwierdzających poniesienie wydatków oraz potwierdzających dokonanie zapłaty </w:t>
      </w:r>
      <w:r w:rsidRPr="00BA4629">
        <w:rPr>
          <w:rFonts w:ascii="Arial" w:hAnsi="Arial" w:cs="Arial"/>
          <w:sz w:val="20"/>
          <w:szCs w:val="20"/>
          <w:lang w:eastAsia="pl-PL"/>
        </w:rPr>
        <w:lastRenderedPageBreak/>
        <w:t>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2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</w:t>
      </w: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5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7" w:name="_Hlk125720301"/>
      <w:r w:rsidRPr="00D478C1">
        <w:rPr>
          <w:rFonts w:cs="Arial"/>
        </w:rPr>
        <w:t>§ 3a</w:t>
      </w:r>
      <w:bookmarkEnd w:id="7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6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r w:rsidR="00434C49" w:rsidRPr="0083710B">
        <w:rPr>
          <w:rFonts w:ascii="Arial" w:hAnsi="Arial" w:cs="Arial"/>
          <w:sz w:val="20"/>
          <w:szCs w:val="20"/>
        </w:rPr>
        <w:t>ufp</w:t>
      </w:r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5B284B87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>
        <w:rPr>
          <w:rFonts w:ascii="Arial" w:hAnsi="Arial" w:cs="Arial"/>
          <w:sz w:val="20"/>
          <w:szCs w:val="20"/>
          <w:lang w:eastAsia="pl-PL"/>
        </w:rPr>
        <w:t>,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ufp.</w:t>
      </w:r>
    </w:p>
    <w:p w14:paraId="6D5E1464" w14:textId="38EB2E36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52AF24AD" w:rsidR="6D504EC5" w:rsidRPr="00E8092C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Łączna kwota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E8092C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>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E8092C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</w:t>
      </w:r>
      <w:r w:rsidR="00A239C5" w:rsidRPr="00E8092C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E8092C">
        <w:rPr>
          <w:rFonts w:ascii="Arial" w:hAnsi="Arial" w:cs="Arial"/>
          <w:sz w:val="20"/>
          <w:szCs w:val="20"/>
        </w:rPr>
        <w:t>zaliczki</w:t>
      </w:r>
      <w:r w:rsidR="002D735C">
        <w:rPr>
          <w:rFonts w:ascii="Arial" w:hAnsi="Arial" w:cs="Arial"/>
          <w:sz w:val="20"/>
          <w:szCs w:val="20"/>
        </w:rPr>
        <w:t xml:space="preserve"> </w:t>
      </w:r>
      <w:r w:rsidR="00A239C5" w:rsidRPr="00E8092C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E8092C">
        <w:rPr>
          <w:rFonts w:ascii="Arial" w:hAnsi="Arial" w:cs="Arial"/>
          <w:sz w:val="20"/>
          <w:szCs w:val="20"/>
          <w:lang w:eastAsia="pl-PL"/>
        </w:rPr>
        <w:t>0</w:t>
      </w:r>
      <w:r w:rsidRPr="00E8092C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>
        <w:rPr>
          <w:rFonts w:ascii="Arial" w:hAnsi="Arial" w:cs="Arial"/>
          <w:sz w:val="20"/>
          <w:szCs w:val="20"/>
          <w:lang w:eastAsia="pl-PL"/>
        </w:rPr>
        <w:t>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ufp.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8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8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1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2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3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9" w:name="_Hlk124326126"/>
      <w:r w:rsidRPr="00D478C1">
        <w:rPr>
          <w:rFonts w:cs="Arial"/>
        </w:rPr>
        <w:t>§ 6</w:t>
      </w:r>
      <w:bookmarkEnd w:id="9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430C6D1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lastRenderedPageBreak/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01CF7B02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Zarządzającą.</w:t>
      </w:r>
    </w:p>
    <w:p w14:paraId="515E2C54" w14:textId="345BBE68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4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6C0B84AD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xml,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lastRenderedPageBreak/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BD69BD4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08F6F10E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Pr="007546A1">
        <w:rPr>
          <w:rFonts w:ascii="Arial" w:hAnsi="Arial"/>
          <w:sz w:val="20"/>
        </w:rPr>
        <w:t>….@....</w:t>
      </w:r>
      <w:r w:rsidRPr="00E8092C">
        <w:rPr>
          <w:rFonts w:ascii="Arial" w:hAnsi="Arial" w:cs="Arial"/>
          <w:sz w:val="20"/>
          <w:szCs w:val="20"/>
        </w:rPr>
        <w:t xml:space="preserve"> (KE)</w:t>
      </w:r>
      <w:r w:rsidR="00793DE4" w:rsidRPr="00E8092C">
        <w:rPr>
          <w:rFonts w:ascii="Arial" w:hAnsi="Arial" w:cs="Arial"/>
          <w:sz w:val="20"/>
          <w:szCs w:val="20"/>
        </w:rPr>
        <w:t>, promocja@parp.gov.pl</w:t>
      </w:r>
      <w:r w:rsidR="007939F7">
        <w:rPr>
          <w:rFonts w:ascii="Arial" w:hAnsi="Arial" w:cs="Arial"/>
          <w:sz w:val="20"/>
          <w:szCs w:val="20"/>
        </w:rPr>
        <w:t>,</w:t>
      </w:r>
      <w:r w:rsidR="00793DE4" w:rsidRPr="00E8092C">
        <w:rPr>
          <w:rFonts w:ascii="Arial" w:hAnsi="Arial" w:cs="Arial"/>
          <w:sz w:val="20"/>
          <w:szCs w:val="20"/>
        </w:rPr>
        <w:t xml:space="preserve">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1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42F755F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r w:rsidR="003750BF" w:rsidRPr="00E8092C">
        <w:rPr>
          <w:rFonts w:ascii="Arial" w:hAnsi="Arial" w:cs="Arial"/>
          <w:sz w:val="20"/>
          <w:szCs w:val="20"/>
          <w:lang w:bidi="pl-PL"/>
        </w:rPr>
        <w:t>promocja@parp.gov.pl</w:t>
      </w:r>
      <w:r w:rsidR="00B6668A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hyperlink r:id="rId11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2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48343C02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danego modułu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 </w:t>
      </w:r>
      <w:r w:rsidR="00102DDF" w:rsidRPr="00E8092C">
        <w:rPr>
          <w:rFonts w:ascii="Arial" w:hAnsi="Arial" w:cs="Arial"/>
          <w:sz w:val="20"/>
          <w:szCs w:val="20"/>
        </w:rPr>
        <w:t>z</w:t>
      </w:r>
      <w:r w:rsidR="00B75EE0" w:rsidRPr="00E8092C">
        <w:rPr>
          <w:rFonts w:ascii="Arial" w:hAnsi="Arial" w:cs="Arial"/>
          <w:sz w:val="20"/>
          <w:szCs w:val="20"/>
        </w:rPr>
        <w:t>ałączniku nr 1 do 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0" w:name="_Hlk125726045"/>
      <w:r w:rsidR="00745C30" w:rsidRPr="007939F7">
        <w:rPr>
          <w:rFonts w:ascii="Arial" w:hAnsi="Arial" w:cs="Arial"/>
          <w:sz w:val="20"/>
          <w:szCs w:val="20"/>
        </w:rPr>
        <w:t xml:space="preserve"> </w:t>
      </w:r>
      <w:r w:rsidR="00312B7D" w:rsidRPr="007939F7">
        <w:rPr>
          <w:rFonts w:ascii="Arial" w:hAnsi="Arial" w:cs="Arial"/>
          <w:sz w:val="20"/>
          <w:szCs w:val="20"/>
        </w:rPr>
        <w:t xml:space="preserve">Pomniejszenie następuje w trybie i na zasadach określonych w art. 207 </w:t>
      </w:r>
      <w:r w:rsidR="00434C49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.</w:t>
      </w:r>
      <w:bookmarkEnd w:id="10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lastRenderedPageBreak/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1973CA49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…. pod adresem….. oraz w załączniku nr </w:t>
      </w:r>
      <w:r w:rsidR="00D92D54">
        <w:rPr>
          <w:rFonts w:ascii="Arial" w:eastAsia="Times New Roman" w:hAnsi="Arial" w:cs="Arial"/>
          <w:sz w:val="20"/>
          <w:szCs w:val="20"/>
        </w:rPr>
        <w:t>5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1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1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2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2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1F506B6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z odpowiednim wyprzedzeniem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E8092C">
        <w:rPr>
          <w:rFonts w:ascii="Arial" w:hAnsi="Arial" w:cs="Arial"/>
          <w:sz w:val="20"/>
          <w:szCs w:val="20"/>
        </w:rPr>
        <w:t>7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>
        <w:rPr>
          <w:rFonts w:ascii="Arial" w:hAnsi="Arial" w:cs="Arial"/>
          <w:sz w:val="20"/>
          <w:szCs w:val="20"/>
        </w:rPr>
        <w:t>10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3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3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22BC340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0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08F9B1B0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A956A3">
        <w:rPr>
          <w:rFonts w:ascii="Arial" w:hAnsi="Arial" w:cs="Arial"/>
          <w:sz w:val="20"/>
          <w:szCs w:val="20"/>
        </w:rPr>
        <w:t xml:space="preserve">8-9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4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lastRenderedPageBreak/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3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5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5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6" w:name="_Hlk114733887"/>
      <w:r w:rsidRPr="00D478C1">
        <w:rPr>
          <w:rFonts w:cs="Arial"/>
        </w:rPr>
        <w:t>§</w:t>
      </w:r>
      <w:bookmarkEnd w:id="16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7" w:name="_Hlk125727899"/>
      <w:r w:rsidRPr="00D478C1">
        <w:rPr>
          <w:rFonts w:cs="Arial"/>
        </w:rPr>
        <w:t>§ 13</w:t>
      </w:r>
      <w:bookmarkEnd w:id="17"/>
      <w:r w:rsidR="00C679BF">
        <w:rPr>
          <w:rFonts w:cs="Arial"/>
        </w:rPr>
        <w:t>.</w:t>
      </w:r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60E21411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 zgodnie z </w:t>
      </w:r>
      <w:r w:rsidR="008167BE" w:rsidRPr="00E8092C">
        <w:rPr>
          <w:rFonts w:ascii="Arial" w:hAnsi="Arial" w:cs="Arial"/>
          <w:sz w:val="20"/>
          <w:szCs w:val="20"/>
        </w:rPr>
        <w:t>wytycznymi dotyczącymi warunków gromadzenia i przekazywania danych w postaci elektronicznej na lata 2021-2027</w:t>
      </w:r>
      <w:r w:rsidR="00702755" w:rsidRPr="00E8092C">
        <w:rPr>
          <w:rFonts w:ascii="Arial" w:hAnsi="Arial" w:cs="Arial"/>
          <w:sz w:val="20"/>
          <w:szCs w:val="20"/>
        </w:rPr>
        <w:t>.</w:t>
      </w:r>
    </w:p>
    <w:p w14:paraId="2B00C0F4" w14:textId="3E39D652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59"/>
      </w:r>
    </w:p>
    <w:p w14:paraId="2B53C952" w14:textId="37E1510E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zgodnych ze stanem faktycznym w terminie wynikającym z odpowiednich procedur.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5C28B733" w:rsidR="00FB3E78" w:rsidRPr="00E8092C" w:rsidRDefault="00FB3E7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będą realizować obowiązki informacyjne poprzez ……</w:t>
      </w:r>
      <w:r w:rsidR="00E55159">
        <w:rPr>
          <w:rStyle w:val="Odwoanieprzypisudolnego"/>
          <w:rFonts w:ascii="Arial" w:hAnsi="Arial"/>
          <w:sz w:val="20"/>
          <w:szCs w:val="20"/>
        </w:rPr>
        <w:footnoteReference w:id="60"/>
      </w:r>
      <w:r w:rsidRPr="00E8092C">
        <w:rPr>
          <w:rFonts w:ascii="Arial" w:hAnsi="Arial" w:cs="Arial"/>
          <w:sz w:val="20"/>
          <w:szCs w:val="20"/>
        </w:rPr>
        <w:t xml:space="preserve"> .</w:t>
      </w:r>
    </w:p>
    <w:p w14:paraId="3D7A5F73" w14:textId="50D800C6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 zgodnie z</w:t>
      </w:r>
      <w:r w:rsidR="009E448D" w:rsidRPr="00E8092C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</w:t>
      </w:r>
      <w:r w:rsidRPr="00E8092C">
        <w:rPr>
          <w:rFonts w:ascii="Arial" w:hAnsi="Arial" w:cs="Arial"/>
          <w:sz w:val="20"/>
          <w:szCs w:val="20"/>
        </w:rPr>
        <w:lastRenderedPageBreak/>
        <w:t>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8" w:name="_Hlk124429433"/>
      <w:r w:rsidRPr="00D478C1">
        <w:rPr>
          <w:rFonts w:cs="Arial"/>
        </w:rPr>
        <w:t>§ 14</w:t>
      </w:r>
      <w:bookmarkEnd w:id="18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77777777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Pr="00E8092C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548AC1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nieprawidłowość w rozumieniu art. 2 pkt 16 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7AF62777" w:rsidR="00DA13A5" w:rsidRPr="00E8092C" w:rsidRDefault="00B457EC" w:rsidP="006A5A1F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6A5A1F" w:rsidRPr="006A5A1F">
        <w:rPr>
          <w:rFonts w:ascii="Arial" w:hAnsi="Arial" w:cs="Arial"/>
          <w:sz w:val="20"/>
          <w:szCs w:val="20"/>
        </w:rPr>
        <w:t>Podpisanie umowy warunkowej z</w:t>
      </w:r>
      <w:r w:rsidR="006A5A1F">
        <w:rPr>
          <w:rFonts w:ascii="Arial" w:hAnsi="Arial" w:cs="Arial"/>
          <w:sz w:val="20"/>
          <w:szCs w:val="20"/>
        </w:rPr>
        <w:t xml:space="preserve"> </w:t>
      </w:r>
      <w:r w:rsidR="006A5A1F" w:rsidRPr="006A5A1F">
        <w:rPr>
          <w:rFonts w:ascii="Arial" w:hAnsi="Arial" w:cs="Arial"/>
          <w:sz w:val="20"/>
          <w:szCs w:val="20"/>
        </w:rPr>
        <w:t>podwykonawcą lub członkiem zespołu projektowego nie stanowi rozpoczęcia</w:t>
      </w:r>
      <w:r w:rsidR="006A5A1F">
        <w:rPr>
          <w:rFonts w:ascii="Arial" w:hAnsi="Arial" w:cs="Arial"/>
          <w:sz w:val="20"/>
          <w:szCs w:val="20"/>
        </w:rPr>
        <w:t xml:space="preserve"> </w:t>
      </w:r>
      <w:r w:rsidR="006A5A1F" w:rsidRPr="006A5A1F">
        <w:rPr>
          <w:rFonts w:ascii="Arial" w:hAnsi="Arial" w:cs="Arial"/>
          <w:sz w:val="20"/>
          <w:szCs w:val="20"/>
        </w:rPr>
        <w:t>realizacji projektu</w:t>
      </w:r>
      <w:r w:rsidR="006A5A1F">
        <w:rPr>
          <w:rFonts w:ascii="Arial" w:hAnsi="Arial" w:cs="Arial"/>
          <w:sz w:val="20"/>
          <w:szCs w:val="20"/>
        </w:rPr>
        <w:t>.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lastRenderedPageBreak/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9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0" w:name="_Hlk125728189"/>
      <w:r w:rsidRPr="00D478C1">
        <w:rPr>
          <w:rFonts w:cs="Arial"/>
        </w:rPr>
        <w:t>§ 15</w:t>
      </w:r>
      <w:bookmarkEnd w:id="20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ufp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ED41F4B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D478C1">
        <w:rPr>
          <w:rFonts w:ascii="Arial" w:hAnsi="Arial" w:cs="Arial"/>
          <w:sz w:val="20"/>
          <w:szCs w:val="20"/>
        </w:rPr>
        <w:t>;</w:t>
      </w:r>
      <w:r w:rsidR="00AB57A1" w:rsidRPr="00D478C1">
        <w:rPr>
          <w:rFonts w:ascii="Arial" w:hAnsi="Arial" w:cs="Arial"/>
          <w:sz w:val="20"/>
          <w:szCs w:val="20"/>
        </w:rPr>
        <w:t xml:space="preserve"> </w:t>
      </w:r>
    </w:p>
    <w:p w14:paraId="689AB92C" w14:textId="2525AA0E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lastRenderedPageBreak/>
        <w:t xml:space="preserve">„rozporządzenia nr 1407/2013”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</w:t>
      </w:r>
      <w:r w:rsidR="00AB57A1" w:rsidRPr="00D478C1">
        <w:rPr>
          <w:rFonts w:ascii="Arial" w:hAnsi="Arial" w:cs="Arial"/>
          <w:sz w:val="20"/>
          <w:szCs w:val="20"/>
        </w:rPr>
        <w:t>ozporządzenia Komisji (UE) nr 1407/2013 z dnia 18</w:t>
      </w:r>
      <w:r w:rsidRPr="00D478C1">
        <w:rPr>
          <w:rFonts w:ascii="Arial" w:hAnsi="Arial" w:cs="Arial"/>
          <w:sz w:val="20"/>
          <w:szCs w:val="20"/>
        </w:rPr>
        <w:t> </w:t>
      </w:r>
      <w:r w:rsidR="00AB57A1" w:rsidRPr="00D478C1">
        <w:rPr>
          <w:rFonts w:ascii="Arial" w:hAnsi="Arial" w:cs="Arial"/>
          <w:sz w:val="20"/>
          <w:szCs w:val="20"/>
        </w:rPr>
        <w:t>grudnia 2013 r. w sprawie stosowania art. 107 i 108 Traktatu o funkcjonowaniu Unii Europejskiej do pomocy de minimis;</w:t>
      </w:r>
    </w:p>
    <w:p w14:paraId="12BEBECE" w14:textId="77777777" w:rsidR="00AB57A1" w:rsidRPr="00C679BF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00C679BF">
        <w:rPr>
          <w:rFonts w:ascii="Arial" w:hAnsi="Arial"/>
          <w:sz w:val="20"/>
        </w:rPr>
        <w:t>/</w:t>
      </w:r>
      <w:r w:rsidRPr="00C679BF">
        <w:rPr>
          <w:rFonts w:ascii="Arial" w:hAnsi="Arial"/>
          <w:i/>
          <w:sz w:val="20"/>
        </w:rPr>
        <w:t>właściwego programu pomocowego (PARP lub NCBiR)/ nr programu pomocowego;</w:t>
      </w:r>
    </w:p>
    <w:p w14:paraId="3AAA94F1" w14:textId="06E7406C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FENG”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 xml:space="preserve">Programu </w:t>
      </w:r>
      <w:r w:rsidR="00AB57A1" w:rsidRPr="00D478C1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D478C1">
        <w:rPr>
          <w:rFonts w:ascii="Arial" w:hAnsi="Arial" w:cs="Arial"/>
          <w:sz w:val="20"/>
          <w:szCs w:val="20"/>
        </w:rPr>
        <w:t>,</w:t>
      </w:r>
      <w:r w:rsidR="00860C9F" w:rsidRPr="00D478C1">
        <w:rPr>
          <w:rFonts w:ascii="Arial" w:hAnsi="Arial" w:cs="Arial"/>
          <w:sz w:val="20"/>
          <w:szCs w:val="20"/>
        </w:rPr>
        <w:t xml:space="preserve"> 2021-2027</w:t>
      </w:r>
      <w:r w:rsidR="007D012E">
        <w:rPr>
          <w:rFonts w:ascii="Arial" w:hAnsi="Arial" w:cs="Arial"/>
          <w:sz w:val="20"/>
          <w:szCs w:val="20"/>
        </w:rPr>
        <w:t>;</w:t>
      </w:r>
    </w:p>
    <w:p w14:paraId="182C0705" w14:textId="09CFE09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D478C1">
        <w:rPr>
          <w:rFonts w:ascii="Arial" w:hAnsi="Arial" w:cs="Arial"/>
          <w:b/>
          <w:bCs/>
          <w:sz w:val="20"/>
          <w:szCs w:val="20"/>
        </w:rPr>
        <w:t>i</w:t>
      </w:r>
      <w:r w:rsidRPr="00D478C1">
        <w:rPr>
          <w:rFonts w:ascii="Arial" w:hAnsi="Arial" w:cs="Arial"/>
          <w:b/>
          <w:bCs/>
          <w:sz w:val="20"/>
          <w:szCs w:val="20"/>
        </w:rPr>
        <w:t>”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40AB1"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</w:t>
      </w:r>
      <w:r w:rsidR="00F45CF4" w:rsidRPr="00D478C1">
        <w:rPr>
          <w:rFonts w:ascii="Arial" w:hAnsi="Arial" w:cs="Arial"/>
          <w:sz w:val="20"/>
          <w:szCs w:val="20"/>
        </w:rPr>
        <w:t>i</w:t>
      </w:r>
      <w:r w:rsidRPr="00D478C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D478C1">
        <w:rPr>
          <w:rFonts w:ascii="Arial" w:hAnsi="Arial" w:cs="Arial"/>
          <w:sz w:val="20"/>
          <w:szCs w:val="20"/>
        </w:rPr>
        <w:t>ej</w:t>
      </w:r>
      <w:r w:rsidRPr="00D478C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739868AC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19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0BBB82B3" w14:textId="21929BCD" w:rsidR="009E7FB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E8092C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B0F2" w14:textId="77777777" w:rsidR="006D263D" w:rsidRDefault="006D263D" w:rsidP="001F6437">
      <w:pPr>
        <w:spacing w:after="0" w:line="240" w:lineRule="auto"/>
      </w:pPr>
      <w:r>
        <w:separator/>
      </w:r>
    </w:p>
  </w:endnote>
  <w:endnote w:type="continuationSeparator" w:id="0">
    <w:p w14:paraId="72D00E10" w14:textId="77777777" w:rsidR="006D263D" w:rsidRDefault="006D263D" w:rsidP="001F6437">
      <w:pPr>
        <w:spacing w:after="0" w:line="240" w:lineRule="auto"/>
      </w:pPr>
      <w:r>
        <w:continuationSeparator/>
      </w:r>
    </w:p>
  </w:endnote>
  <w:endnote w:type="continuationNotice" w:id="1">
    <w:p w14:paraId="6697E3F2" w14:textId="77777777" w:rsidR="006D263D" w:rsidRDefault="006D2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6D263D" w:rsidRDefault="006D26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6D263D" w:rsidRDefault="006D2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B00D5" w14:textId="77777777" w:rsidR="006D263D" w:rsidRDefault="006D263D" w:rsidP="001F6437">
      <w:pPr>
        <w:spacing w:after="0" w:line="240" w:lineRule="auto"/>
      </w:pPr>
      <w:r>
        <w:separator/>
      </w:r>
    </w:p>
  </w:footnote>
  <w:footnote w:type="continuationSeparator" w:id="0">
    <w:p w14:paraId="2D40455A" w14:textId="77777777" w:rsidR="006D263D" w:rsidRDefault="006D263D" w:rsidP="001F6437">
      <w:pPr>
        <w:spacing w:after="0" w:line="240" w:lineRule="auto"/>
      </w:pPr>
      <w:r>
        <w:continuationSeparator/>
      </w:r>
    </w:p>
  </w:footnote>
  <w:footnote w:type="continuationNotice" w:id="1">
    <w:p w14:paraId="5084D3F6" w14:textId="77777777" w:rsidR="006D263D" w:rsidRDefault="006D263D">
      <w:pPr>
        <w:spacing w:after="0" w:line="240" w:lineRule="auto"/>
      </w:pPr>
    </w:p>
  </w:footnote>
  <w:footnote w:id="2">
    <w:p w14:paraId="30906AB5" w14:textId="1EF44468" w:rsidR="006D263D" w:rsidRPr="00403614" w:rsidRDefault="006D263D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6D263D" w:rsidRDefault="006D263D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Pr="002371EC">
        <w:rPr>
          <w:rFonts w:ascii="Arial" w:hAnsi="Arial" w:cs="Arial"/>
          <w:sz w:val="16"/>
          <w:szCs w:val="16"/>
        </w:rPr>
        <w:t>22-24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6D263D" w:rsidRDefault="006D263D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63E0FD3" w14:textId="643C99D8" w:rsidR="006D263D" w:rsidRDefault="006D26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6D263D" w:rsidRPr="008D36F3" w:rsidRDefault="006D263D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6D263D" w:rsidRPr="00120764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6D263D" w:rsidRPr="008D36F3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6D263D" w:rsidRPr="00244DF3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6D263D" w:rsidRPr="00244DF3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6D263D" w:rsidRPr="00817EBC" w:rsidRDefault="006D263D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6D263D" w:rsidRPr="00EF109F" w:rsidRDefault="006D263D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6D263D" w:rsidRPr="00EF109F" w:rsidRDefault="006D263D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6D263D" w:rsidRPr="00EF109F" w:rsidRDefault="006D263D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2F6E600D" w14:textId="77777777" w:rsidR="006D263D" w:rsidRPr="00EF109F" w:rsidRDefault="006D263D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6A30B013" w14:textId="36F36853" w:rsidR="006D263D" w:rsidRPr="004E2D51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6D263D" w:rsidRPr="00817EBC" w:rsidRDefault="006D263D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5BFFF2C3" w14:textId="32F61657" w:rsidR="006D263D" w:rsidRPr="00EF109F" w:rsidRDefault="006D263D" w:rsidP="0053015A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EF109F">
        <w:rPr>
          <w:rFonts w:ascii="Arial" w:hAnsi="Arial" w:cs="Arial"/>
          <w:sz w:val="16"/>
          <w:szCs w:val="16"/>
          <w:lang w:eastAsia="x-none"/>
        </w:rPr>
        <w:t>Wpisać krajową podstawę prawną udzielanej pomocy</w:t>
      </w:r>
      <w:r>
        <w:rPr>
          <w:rFonts w:ascii="Arial" w:hAnsi="Arial" w:cs="Arial"/>
          <w:sz w:val="16"/>
          <w:szCs w:val="16"/>
          <w:lang w:eastAsia="x-none"/>
        </w:rPr>
        <w:t xml:space="preserve"> (dotyczącą odpowiednio PARP lub NCBR)</w:t>
      </w:r>
      <w:r w:rsidRPr="00EF109F"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19">
    <w:p w14:paraId="07EC1FA0" w14:textId="071B5559" w:rsidR="006D263D" w:rsidRPr="00164F61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  <w:r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20">
    <w:p w14:paraId="2E8D0227" w14:textId="25C9480D" w:rsidR="006D263D" w:rsidRPr="00164F61" w:rsidRDefault="006D263D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1">
    <w:p w14:paraId="298F9506" w14:textId="2B4BC6D9" w:rsidR="006D263D" w:rsidRPr="00164F61" w:rsidRDefault="006D263D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2">
    <w:p w14:paraId="558229E7" w14:textId="77777777" w:rsidR="006D263D" w:rsidRPr="00267A18" w:rsidRDefault="006D263D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3">
    <w:p w14:paraId="41144A60" w14:textId="3B10CA50" w:rsidR="006D263D" w:rsidRPr="00C268C7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4">
    <w:p w14:paraId="5B301536" w14:textId="3D615521" w:rsidR="006D263D" w:rsidRPr="00EE13A7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5">
    <w:p w14:paraId="38009DFE" w14:textId="77777777" w:rsidR="006D263D" w:rsidRPr="00493EC4" w:rsidRDefault="006D263D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6">
    <w:p w14:paraId="0CBB0A30" w14:textId="1F299FF1" w:rsidR="006D263D" w:rsidRPr="00280B20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7">
    <w:p w14:paraId="6065ACDB" w14:textId="644F599B" w:rsidR="006D263D" w:rsidRPr="007D0B34" w:rsidRDefault="006D263D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 (duże przedsiębiorstwa: część bezzwrotna: 30%, część zwrotna:</w:t>
      </w:r>
      <w:r w:rsidRPr="00B9027F">
        <w:t xml:space="preserve"> </w:t>
      </w:r>
      <w:r w:rsidRPr="00B9027F">
        <w:rPr>
          <w:rFonts w:ascii="Arial" w:hAnsi="Arial" w:cs="Arial"/>
          <w:sz w:val="16"/>
          <w:szCs w:val="16"/>
        </w:rPr>
        <w:t>70%</w:t>
      </w:r>
      <w:r>
        <w:rPr>
          <w:rFonts w:ascii="Arial" w:hAnsi="Arial" w:cs="Arial"/>
          <w:sz w:val="16"/>
          <w:szCs w:val="16"/>
        </w:rPr>
        <w:t>; ś</w:t>
      </w:r>
      <w:r w:rsidRPr="00B9027F">
        <w:rPr>
          <w:rFonts w:ascii="Arial" w:hAnsi="Arial" w:cs="Arial"/>
          <w:sz w:val="16"/>
          <w:szCs w:val="16"/>
        </w:rPr>
        <w:t>rednie przedsiębiorstwa</w:t>
      </w:r>
      <w:r>
        <w:rPr>
          <w:rFonts w:ascii="Arial" w:hAnsi="Arial" w:cs="Arial"/>
          <w:sz w:val="16"/>
          <w:szCs w:val="16"/>
        </w:rPr>
        <w:t>: część bezzwrotna: 40%, część zwrotna:</w:t>
      </w:r>
      <w:r w:rsidRPr="00B9027F">
        <w:t xml:space="preserve"> </w:t>
      </w:r>
      <w:r>
        <w:rPr>
          <w:rFonts w:ascii="Arial" w:hAnsi="Arial" w:cs="Arial"/>
          <w:sz w:val="16"/>
          <w:szCs w:val="16"/>
        </w:rPr>
        <w:t>6</w:t>
      </w:r>
      <w:r w:rsidRPr="00B9027F">
        <w:rPr>
          <w:rFonts w:ascii="Arial" w:hAnsi="Arial" w:cs="Arial"/>
          <w:sz w:val="16"/>
          <w:szCs w:val="16"/>
        </w:rPr>
        <w:t>0%</w:t>
      </w:r>
      <w:r>
        <w:rPr>
          <w:rFonts w:ascii="Arial" w:hAnsi="Arial" w:cs="Arial"/>
          <w:sz w:val="16"/>
          <w:szCs w:val="16"/>
        </w:rPr>
        <w:t>;</w:t>
      </w:r>
      <w:r w:rsidRPr="005754E3"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5754E3">
        <w:rPr>
          <w:rFonts w:ascii="Arial" w:hAnsi="Arial" w:cs="Arial"/>
          <w:sz w:val="16"/>
          <w:szCs w:val="16"/>
        </w:rPr>
        <w:t>ikro i małe przedsiębiorstwa</w:t>
      </w:r>
      <w:r>
        <w:rPr>
          <w:rFonts w:ascii="Arial" w:hAnsi="Arial" w:cs="Arial"/>
          <w:sz w:val="16"/>
          <w:szCs w:val="16"/>
        </w:rPr>
        <w:t>: część bezzwrotna: 50%, część zwrotna:</w:t>
      </w:r>
      <w:r w:rsidRPr="00B9027F">
        <w:t xml:space="preserve"> </w:t>
      </w:r>
      <w:r>
        <w:rPr>
          <w:rFonts w:ascii="Arial" w:hAnsi="Arial" w:cs="Arial"/>
          <w:sz w:val="16"/>
          <w:szCs w:val="16"/>
        </w:rPr>
        <w:t>5</w:t>
      </w:r>
      <w:r w:rsidRPr="00B9027F">
        <w:rPr>
          <w:rFonts w:ascii="Arial" w:hAnsi="Arial" w:cs="Arial"/>
          <w:sz w:val="16"/>
          <w:szCs w:val="16"/>
        </w:rPr>
        <w:t>0%</w:t>
      </w:r>
      <w:r>
        <w:rPr>
          <w:rFonts w:ascii="Arial" w:hAnsi="Arial" w:cs="Arial"/>
          <w:sz w:val="16"/>
          <w:szCs w:val="16"/>
        </w:rPr>
        <w:t>).</w:t>
      </w:r>
    </w:p>
  </w:footnote>
  <w:footnote w:id="28">
    <w:p w14:paraId="0582E8DC" w14:textId="51BA9049" w:rsidR="006D263D" w:rsidRPr="00D86715" w:rsidRDefault="006D263D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29">
    <w:p w14:paraId="5B3B25B7" w14:textId="5605A6B1" w:rsidR="006D263D" w:rsidRDefault="006D263D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0">
    <w:p w14:paraId="098171A5" w14:textId="3D6AAD8B" w:rsidR="006D263D" w:rsidRPr="00587518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1">
    <w:p w14:paraId="366F869A" w14:textId="0881129A" w:rsidR="006D263D" w:rsidRPr="008560E3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minimis </w:t>
      </w:r>
      <w:r w:rsidRPr="001B713B">
        <w:rPr>
          <w:rFonts w:ascii="Arial" w:hAnsi="Arial" w:cs="Arial"/>
          <w:sz w:val="16"/>
          <w:szCs w:val="16"/>
        </w:rPr>
        <w:t>w niektórych modułach</w:t>
      </w:r>
      <w:r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2">
    <w:p w14:paraId="2F236952" w14:textId="165989C0" w:rsidR="006D263D" w:rsidRPr="008560E3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3">
    <w:p w14:paraId="4D8D0EA5" w14:textId="6034C911" w:rsidR="006D263D" w:rsidRPr="00521952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4">
    <w:p w14:paraId="60BD3337" w14:textId="77777777" w:rsidR="006D263D" w:rsidRPr="0081640B" w:rsidRDefault="006D263D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5">
    <w:p w14:paraId="268A7839" w14:textId="2472EC87" w:rsidR="006D263D" w:rsidRDefault="006D263D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6">
    <w:p w14:paraId="5DE134A2" w14:textId="22DEDCC5" w:rsidR="006D263D" w:rsidRPr="00822CC3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7">
    <w:p w14:paraId="65DF8CBE" w14:textId="0CE2D792" w:rsidR="006D263D" w:rsidRDefault="006D263D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38">
    <w:p w14:paraId="73DFB15A" w14:textId="52B9D487" w:rsidR="006D263D" w:rsidRPr="00822CC3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>
        <w:rPr>
          <w:rFonts w:ascii="Arial" w:hAnsi="Arial" w:cs="Arial"/>
          <w:sz w:val="16"/>
          <w:szCs w:val="16"/>
        </w:rPr>
        <w:t>P</w:t>
      </w:r>
      <w:r w:rsidRPr="00822CC3">
        <w:rPr>
          <w:rFonts w:ascii="Arial" w:hAnsi="Arial" w:cs="Arial"/>
          <w:sz w:val="16"/>
          <w:szCs w:val="16"/>
        </w:rPr>
        <w:t>rogramu i który podlega szczególnym środkom dotyczącym monitorowania i komunikacji</w:t>
      </w:r>
      <w:r>
        <w:rPr>
          <w:rFonts w:ascii="Arial" w:hAnsi="Arial" w:cs="Arial"/>
          <w:sz w:val="16"/>
          <w:szCs w:val="16"/>
        </w:rPr>
        <w:t>.</w:t>
      </w:r>
    </w:p>
  </w:footnote>
  <w:footnote w:id="39">
    <w:p w14:paraId="598D0A97" w14:textId="266B11BC" w:rsidR="006D263D" w:rsidRDefault="006D263D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0">
    <w:p w14:paraId="16739C7E" w14:textId="53FE305D" w:rsidR="006D263D" w:rsidRPr="002F75B6" w:rsidRDefault="006D263D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>
        <w:rPr>
          <w:rFonts w:ascii="Arial" w:hAnsi="Arial" w:cs="Arial"/>
          <w:sz w:val="16"/>
          <w:szCs w:val="16"/>
        </w:rPr>
        <w:t>całkowitym</w:t>
      </w:r>
      <w:r w:rsidRPr="002F75B6">
        <w:rPr>
          <w:rFonts w:ascii="Arial" w:hAnsi="Arial" w:cs="Arial"/>
          <w:sz w:val="16"/>
          <w:szCs w:val="16"/>
        </w:rPr>
        <w:t xml:space="preserve"> koszcie przekraczającym 5 000 000 EUR.</w:t>
      </w:r>
    </w:p>
  </w:footnote>
  <w:footnote w:id="41">
    <w:p w14:paraId="0FDD54C0" w14:textId="169194A2" w:rsidR="006D263D" w:rsidRPr="007F431D" w:rsidRDefault="006D263D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2">
    <w:p w14:paraId="3908F4AF" w14:textId="67C1D3EA" w:rsidR="006D263D" w:rsidRDefault="006D263D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3">
    <w:p w14:paraId="34BF4DCF" w14:textId="6D3B97D8" w:rsidR="006D263D" w:rsidRPr="000C4AEC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4">
    <w:p w14:paraId="573D6F19" w14:textId="1DC3FC4F" w:rsidR="006D263D" w:rsidRPr="007D31AD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5">
    <w:p w14:paraId="73EA8133" w14:textId="01AD6FA9" w:rsidR="006D263D" w:rsidRPr="000C4AEC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46">
    <w:p w14:paraId="39138061" w14:textId="7DCDAA81" w:rsidR="006D263D" w:rsidRPr="000C4AEC" w:rsidRDefault="006D263D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7">
    <w:p w14:paraId="3C30CE19" w14:textId="42AFC63F" w:rsidR="006D263D" w:rsidRPr="000C4AEC" w:rsidRDefault="006D263D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8">
    <w:p w14:paraId="5ABCEE73" w14:textId="4B3D1723" w:rsidR="006D263D" w:rsidRDefault="006D263D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9">
    <w:p w14:paraId="29257A04" w14:textId="3C413EC7" w:rsidR="006D263D" w:rsidRPr="0026514A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0">
    <w:p w14:paraId="6FFDA485" w14:textId="5678238D" w:rsidR="006D263D" w:rsidRPr="004C163A" w:rsidRDefault="006D263D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Pr="00C8280A">
        <w:rPr>
          <w:rFonts w:ascii="Arial" w:hAnsi="Arial" w:cs="Arial"/>
          <w:sz w:val="16"/>
          <w:szCs w:val="16"/>
        </w:rPr>
        <w:t>Postanowienie uwzględnia również przypadki, gdy Wnioskodawcą jest podmiot zależny lub kontrolowany od JST, na terenie której obowiązują ustanowione przez organy tej JST dyskryminujące akty prawa miejscowego sprzeczne z zasadami, o których mowa w art. 9 ust. 3 rozporządzenia ogólnego.</w:t>
      </w:r>
      <w:r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6D263D" w:rsidRPr="004C163A" w:rsidRDefault="006D263D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1">
    <w:p w14:paraId="031A7BF1" w14:textId="75A166FB" w:rsidR="006D263D" w:rsidRDefault="006D263D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2">
    <w:p w14:paraId="1618828B" w14:textId="4B06502D" w:rsidR="006D263D" w:rsidRPr="00D04549" w:rsidRDefault="006D263D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53">
    <w:p w14:paraId="328D9238" w14:textId="77777777" w:rsidR="006D263D" w:rsidRDefault="006D263D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4">
    <w:p w14:paraId="7C2F2EB4" w14:textId="44E6100F" w:rsidR="006D263D" w:rsidRPr="0057763B" w:rsidRDefault="006D263D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5">
    <w:p w14:paraId="391FB0B8" w14:textId="43B25EF9" w:rsidR="006D263D" w:rsidRDefault="006D263D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6">
    <w:p w14:paraId="009EF36A" w14:textId="7638C211" w:rsidR="006D263D" w:rsidRDefault="006D263D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7">
    <w:p w14:paraId="5BD589CE" w14:textId="49682B1C" w:rsidR="006D263D" w:rsidRPr="0081640B" w:rsidRDefault="006D263D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5DDD5481" w14:textId="45682BA9" w:rsidR="006D263D" w:rsidRDefault="006D263D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9">
    <w:p w14:paraId="4BDFF050" w14:textId="11FA158E" w:rsidR="006D263D" w:rsidRPr="007D31AD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0">
    <w:p w14:paraId="2109165E" w14:textId="3BDB78A4" w:rsidR="006D263D" w:rsidRDefault="006D263D">
      <w:pPr>
        <w:pStyle w:val="Tekstprzypisudolnego"/>
      </w:pPr>
      <w:r w:rsidRPr="00E5515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159">
        <w:rPr>
          <w:rFonts w:ascii="Arial" w:hAnsi="Arial" w:cs="Arial"/>
          <w:sz w:val="16"/>
          <w:szCs w:val="16"/>
        </w:rPr>
        <w:t>Np. stronę internetową lub pocztę elektroniczną.</w:t>
      </w:r>
    </w:p>
  </w:footnote>
  <w:footnote w:id="61">
    <w:p w14:paraId="1D47F065" w14:textId="430CEB19" w:rsidR="006D263D" w:rsidRPr="000578F7" w:rsidRDefault="006D263D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Beneficjenta we Wniosku o nadanie/zmianę/wycofanie dostępu dla osoby uprawnionej </w:t>
      </w:r>
      <w:r>
        <w:rPr>
          <w:rFonts w:ascii="Arial" w:hAnsi="Arial" w:cs="Arial"/>
          <w:sz w:val="16"/>
          <w:szCs w:val="16"/>
          <w:lang w:eastAsia="pl-PL"/>
        </w:rPr>
        <w:t xml:space="preserve"> 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płatność czy przekazywania innych informacji związanych z realizacją Projektu.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2">
    <w:p w14:paraId="47D1FC14" w14:textId="2862D6D3" w:rsidR="006D263D" w:rsidRDefault="006D263D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3">
    <w:p w14:paraId="6BDE10BB" w14:textId="40B09BC8" w:rsidR="006D263D" w:rsidRDefault="006D263D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4">
    <w:p w14:paraId="5145D89B" w14:textId="4BF89B0E" w:rsidR="006D263D" w:rsidRPr="0022191B" w:rsidRDefault="006D263D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3FF49" w14:textId="77777777" w:rsidR="006D263D" w:rsidRDefault="006D26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0"/>
  </w:num>
  <w:num w:numId="2">
    <w:abstractNumId w:val="61"/>
  </w:num>
  <w:num w:numId="3">
    <w:abstractNumId w:val="24"/>
  </w:num>
  <w:num w:numId="4">
    <w:abstractNumId w:val="58"/>
  </w:num>
  <w:num w:numId="5">
    <w:abstractNumId w:val="41"/>
  </w:num>
  <w:num w:numId="6">
    <w:abstractNumId w:val="38"/>
  </w:num>
  <w:num w:numId="7">
    <w:abstractNumId w:val="2"/>
  </w:num>
  <w:num w:numId="8">
    <w:abstractNumId w:val="70"/>
  </w:num>
  <w:num w:numId="9">
    <w:abstractNumId w:val="35"/>
  </w:num>
  <w:num w:numId="10">
    <w:abstractNumId w:val="47"/>
  </w:num>
  <w:num w:numId="11">
    <w:abstractNumId w:val="55"/>
  </w:num>
  <w:num w:numId="12">
    <w:abstractNumId w:val="42"/>
  </w:num>
  <w:num w:numId="13">
    <w:abstractNumId w:val="43"/>
  </w:num>
  <w:num w:numId="14">
    <w:abstractNumId w:val="12"/>
  </w:num>
  <w:num w:numId="15">
    <w:abstractNumId w:val="14"/>
  </w:num>
  <w:num w:numId="16">
    <w:abstractNumId w:val="25"/>
  </w:num>
  <w:num w:numId="17">
    <w:abstractNumId w:val="18"/>
  </w:num>
  <w:num w:numId="18">
    <w:abstractNumId w:val="73"/>
  </w:num>
  <w:num w:numId="19">
    <w:abstractNumId w:val="71"/>
  </w:num>
  <w:num w:numId="20">
    <w:abstractNumId w:val="75"/>
  </w:num>
  <w:num w:numId="21">
    <w:abstractNumId w:val="40"/>
  </w:num>
  <w:num w:numId="22">
    <w:abstractNumId w:val="5"/>
  </w:num>
  <w:num w:numId="23">
    <w:abstractNumId w:val="32"/>
  </w:num>
  <w:num w:numId="2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</w:num>
  <w:num w:numId="26">
    <w:abstractNumId w:val="9"/>
  </w:num>
  <w:num w:numId="27">
    <w:abstractNumId w:val="33"/>
  </w:num>
  <w:num w:numId="28">
    <w:abstractNumId w:val="22"/>
  </w:num>
  <w:num w:numId="29">
    <w:abstractNumId w:val="53"/>
  </w:num>
  <w:num w:numId="30">
    <w:abstractNumId w:val="34"/>
  </w:num>
  <w:num w:numId="31">
    <w:abstractNumId w:val="11"/>
  </w:num>
  <w:num w:numId="32">
    <w:abstractNumId w:val="1"/>
  </w:num>
  <w:num w:numId="33">
    <w:abstractNumId w:val="10"/>
  </w:num>
  <w:num w:numId="34">
    <w:abstractNumId w:val="6"/>
  </w:num>
  <w:num w:numId="35">
    <w:abstractNumId w:val="39"/>
  </w:num>
  <w:num w:numId="36">
    <w:abstractNumId w:val="64"/>
  </w:num>
  <w:num w:numId="37">
    <w:abstractNumId w:val="51"/>
  </w:num>
  <w:num w:numId="38">
    <w:abstractNumId w:val="19"/>
  </w:num>
  <w:num w:numId="39">
    <w:abstractNumId w:val="20"/>
  </w:num>
  <w:num w:numId="40">
    <w:abstractNumId w:val="7"/>
  </w:num>
  <w:num w:numId="41">
    <w:abstractNumId w:val="77"/>
  </w:num>
  <w:num w:numId="42">
    <w:abstractNumId w:val="15"/>
  </w:num>
  <w:num w:numId="43">
    <w:abstractNumId w:val="0"/>
  </w:num>
  <w:num w:numId="44">
    <w:abstractNumId w:val="65"/>
  </w:num>
  <w:num w:numId="45">
    <w:abstractNumId w:val="26"/>
  </w:num>
  <w:num w:numId="46">
    <w:abstractNumId w:val="48"/>
  </w:num>
  <w:num w:numId="47">
    <w:abstractNumId w:val="52"/>
  </w:num>
  <w:num w:numId="48">
    <w:abstractNumId w:val="30"/>
  </w:num>
  <w:num w:numId="49">
    <w:abstractNumId w:val="74"/>
  </w:num>
  <w:num w:numId="50">
    <w:abstractNumId w:val="28"/>
  </w:num>
  <w:num w:numId="51">
    <w:abstractNumId w:val="17"/>
  </w:num>
  <w:num w:numId="52">
    <w:abstractNumId w:val="16"/>
  </w:num>
  <w:num w:numId="53">
    <w:abstractNumId w:val="69"/>
  </w:num>
  <w:num w:numId="54">
    <w:abstractNumId w:val="57"/>
  </w:num>
  <w:num w:numId="55">
    <w:abstractNumId w:val="3"/>
  </w:num>
  <w:num w:numId="56">
    <w:abstractNumId w:val="8"/>
  </w:num>
  <w:num w:numId="57">
    <w:abstractNumId w:val="63"/>
  </w:num>
  <w:num w:numId="58">
    <w:abstractNumId w:val="27"/>
  </w:num>
  <w:num w:numId="59">
    <w:abstractNumId w:val="79"/>
  </w:num>
  <w:num w:numId="60">
    <w:abstractNumId w:val="54"/>
  </w:num>
  <w:num w:numId="61">
    <w:abstractNumId w:val="56"/>
  </w:num>
  <w:num w:numId="62">
    <w:abstractNumId w:val="81"/>
  </w:num>
  <w:num w:numId="63">
    <w:abstractNumId w:val="68"/>
  </w:num>
  <w:num w:numId="64">
    <w:abstractNumId w:val="49"/>
  </w:num>
  <w:num w:numId="65">
    <w:abstractNumId w:val="76"/>
  </w:num>
  <w:num w:numId="66">
    <w:abstractNumId w:val="31"/>
  </w:num>
  <w:num w:numId="67">
    <w:abstractNumId w:val="67"/>
  </w:num>
  <w:num w:numId="68">
    <w:abstractNumId w:val="29"/>
  </w:num>
  <w:num w:numId="69">
    <w:abstractNumId w:val="21"/>
  </w:num>
  <w:num w:numId="70">
    <w:abstractNumId w:val="60"/>
  </w:num>
  <w:num w:numId="71">
    <w:abstractNumId w:val="46"/>
  </w:num>
  <w:num w:numId="72">
    <w:abstractNumId w:val="37"/>
  </w:num>
  <w:num w:numId="73">
    <w:abstractNumId w:val="66"/>
  </w:num>
  <w:num w:numId="74">
    <w:abstractNumId w:val="44"/>
  </w:num>
  <w:num w:numId="75">
    <w:abstractNumId w:val="78"/>
  </w:num>
  <w:num w:numId="76">
    <w:abstractNumId w:val="4"/>
  </w:num>
  <w:num w:numId="77">
    <w:abstractNumId w:val="62"/>
  </w:num>
  <w:num w:numId="78">
    <w:abstractNumId w:val="23"/>
  </w:num>
  <w:num w:numId="79">
    <w:abstractNumId w:val="13"/>
  </w:num>
  <w:num w:numId="80">
    <w:abstractNumId w:val="45"/>
  </w:num>
  <w:num w:numId="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63"/>
    <w:rsid w:val="000A1939"/>
    <w:rsid w:val="000A1978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732C"/>
    <w:rsid w:val="00177ADA"/>
    <w:rsid w:val="00180601"/>
    <w:rsid w:val="00180C0D"/>
    <w:rsid w:val="001830BB"/>
    <w:rsid w:val="001838AD"/>
    <w:rsid w:val="00183BC1"/>
    <w:rsid w:val="00185176"/>
    <w:rsid w:val="00185577"/>
    <w:rsid w:val="00185FB3"/>
    <w:rsid w:val="00186057"/>
    <w:rsid w:val="001877FB"/>
    <w:rsid w:val="00190C17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426E"/>
    <w:rsid w:val="002E61D9"/>
    <w:rsid w:val="002E66DF"/>
    <w:rsid w:val="002E788F"/>
    <w:rsid w:val="002E7BC1"/>
    <w:rsid w:val="002F06F0"/>
    <w:rsid w:val="002F0704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0B79"/>
    <w:rsid w:val="00321AAC"/>
    <w:rsid w:val="00322A64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696D"/>
    <w:rsid w:val="004B71FB"/>
    <w:rsid w:val="004B7322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4D3C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2042"/>
    <w:rsid w:val="006923D3"/>
    <w:rsid w:val="00692464"/>
    <w:rsid w:val="00692BD6"/>
    <w:rsid w:val="00692C14"/>
    <w:rsid w:val="00693023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5A1F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7118"/>
    <w:rsid w:val="006B73B0"/>
    <w:rsid w:val="006B73EC"/>
    <w:rsid w:val="006B7907"/>
    <w:rsid w:val="006B7DE1"/>
    <w:rsid w:val="006C1EBD"/>
    <w:rsid w:val="006C2906"/>
    <w:rsid w:val="006C2C99"/>
    <w:rsid w:val="006C357B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263D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970"/>
    <w:rsid w:val="007A76BB"/>
    <w:rsid w:val="007A7B18"/>
    <w:rsid w:val="007A7F08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943"/>
    <w:rsid w:val="007F0B3F"/>
    <w:rsid w:val="007F0DBE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516F"/>
    <w:rsid w:val="00825585"/>
    <w:rsid w:val="008255B3"/>
    <w:rsid w:val="00825634"/>
    <w:rsid w:val="00825D60"/>
    <w:rsid w:val="00825EC9"/>
    <w:rsid w:val="00826472"/>
    <w:rsid w:val="00830A59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F28"/>
    <w:rsid w:val="00844AEC"/>
    <w:rsid w:val="00844E3F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E24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6847"/>
    <w:rsid w:val="00866EAB"/>
    <w:rsid w:val="008679F6"/>
    <w:rsid w:val="00870F22"/>
    <w:rsid w:val="0087109F"/>
    <w:rsid w:val="008720D5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A61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1DB8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D9B"/>
    <w:rsid w:val="00AC7143"/>
    <w:rsid w:val="00AC7A07"/>
    <w:rsid w:val="00AC7F47"/>
    <w:rsid w:val="00ACB17D"/>
    <w:rsid w:val="00AD29A5"/>
    <w:rsid w:val="00AD29DE"/>
    <w:rsid w:val="00AD41FD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7EC"/>
    <w:rsid w:val="00B46287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573C"/>
    <w:rsid w:val="00B65B27"/>
    <w:rsid w:val="00B65BEF"/>
    <w:rsid w:val="00B65F58"/>
    <w:rsid w:val="00B662E8"/>
    <w:rsid w:val="00B66326"/>
    <w:rsid w:val="00B66485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9F8"/>
    <w:rsid w:val="00BA2A28"/>
    <w:rsid w:val="00BA4629"/>
    <w:rsid w:val="00BA534B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47B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3AB6"/>
    <w:rsid w:val="00CA43D0"/>
    <w:rsid w:val="00CA43F2"/>
    <w:rsid w:val="00CA5E01"/>
    <w:rsid w:val="00CA5E44"/>
    <w:rsid w:val="00CA7602"/>
    <w:rsid w:val="00CB00AD"/>
    <w:rsid w:val="00CB1BA2"/>
    <w:rsid w:val="00CB1CC5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521D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708B"/>
    <w:rsid w:val="00DB7886"/>
    <w:rsid w:val="00DB7C5C"/>
    <w:rsid w:val="00DB7F56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EA"/>
    <w:rsid w:val="00E66486"/>
    <w:rsid w:val="00E66561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994"/>
    <w:rsid w:val="00F30F8D"/>
    <w:rsid w:val="00F31571"/>
    <w:rsid w:val="00F31B6A"/>
    <w:rsid w:val="00F32A24"/>
    <w:rsid w:val="00F32ABD"/>
    <w:rsid w:val="00F32E40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FE36-3D66-4164-B8E4-13D44692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b634f1-d4b8-44f5-b915-b6b96903ae57"/>
    <ds:schemaRef ds:uri="f10ac06e-816e-4d4c-9e18-e30054a259f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7A540F-6D0F-4D83-B053-72C350F5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11278</Words>
  <Characters>67671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78792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Bieniecka-Grygo Małgorzata</cp:lastModifiedBy>
  <cp:revision>3</cp:revision>
  <cp:lastPrinted>2023-02-01T16:25:00Z</cp:lastPrinted>
  <dcterms:created xsi:type="dcterms:W3CDTF">2023-05-05T09:27:00Z</dcterms:created>
  <dcterms:modified xsi:type="dcterms:W3CDTF">2023-05-05T09:27:00Z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